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6A058" w14:textId="54C09E76" w:rsidR="006473EA" w:rsidRPr="009442DD" w:rsidRDefault="006473EA" w:rsidP="001D24C4">
      <w:pPr>
        <w:autoSpaceDE w:val="0"/>
        <w:autoSpaceDN w:val="0"/>
        <w:adjustRightInd w:val="0"/>
        <w:spacing w:after="0" w:line="240" w:lineRule="auto"/>
        <w:ind w:firstLine="540"/>
        <w:jc w:val="center"/>
        <w:rPr>
          <w:rFonts w:asciiTheme="majorBidi" w:hAnsiTheme="majorBidi" w:cstheme="majorBidi"/>
          <w:b/>
          <w:sz w:val="24"/>
          <w:szCs w:val="24"/>
        </w:rPr>
      </w:pPr>
      <w:r w:rsidRPr="009442DD">
        <w:rPr>
          <w:rFonts w:asciiTheme="majorBidi" w:hAnsiTheme="majorBidi" w:cstheme="majorBidi"/>
          <w:b/>
          <w:sz w:val="24"/>
          <w:szCs w:val="24"/>
        </w:rPr>
        <w:t xml:space="preserve">List of documents required to open an account to </w:t>
      </w:r>
      <w:r w:rsidR="001D24C4">
        <w:rPr>
          <w:rFonts w:asciiTheme="majorBidi" w:hAnsiTheme="majorBidi" w:cstheme="majorBidi"/>
          <w:b/>
          <w:sz w:val="24"/>
          <w:szCs w:val="24"/>
        </w:rPr>
        <w:t>a</w:t>
      </w:r>
      <w:bookmarkStart w:id="0" w:name="_GoBack"/>
      <w:bookmarkEnd w:id="0"/>
      <w:r w:rsidRPr="009442DD">
        <w:rPr>
          <w:rFonts w:asciiTheme="majorBidi" w:hAnsiTheme="majorBidi" w:cstheme="majorBidi"/>
          <w:b/>
          <w:sz w:val="24"/>
          <w:szCs w:val="24"/>
        </w:rPr>
        <w:t xml:space="preserve"> legal entity-non-resident of the Russian Federation with a branch (representative office) in the Russian Federation, as well as to the foreign non-commercial non-governmental organization operating in the Russian Federation through a regional office</w:t>
      </w:r>
    </w:p>
    <w:p w14:paraId="2A322AEF" w14:textId="77777777" w:rsidR="006473EA" w:rsidRPr="009442DD" w:rsidRDefault="006473EA" w:rsidP="006473EA">
      <w:pPr>
        <w:pStyle w:val="a3"/>
        <w:numPr>
          <w:ilvl w:val="0"/>
          <w:numId w:val="1"/>
        </w:numPr>
        <w:tabs>
          <w:tab w:val="left" w:pos="709"/>
        </w:tabs>
        <w:spacing w:before="120" w:after="120" w:line="240" w:lineRule="auto"/>
        <w:contextualSpacing w:val="0"/>
        <w:jc w:val="both"/>
        <w:rPr>
          <w:rFonts w:asciiTheme="majorBidi" w:hAnsiTheme="majorBidi" w:cstheme="majorBidi"/>
          <w:sz w:val="24"/>
          <w:szCs w:val="24"/>
        </w:rPr>
      </w:pPr>
      <w:bookmarkStart w:id="1" w:name="_Hlk104975519"/>
      <w:r w:rsidRPr="009442DD">
        <w:rPr>
          <w:rFonts w:asciiTheme="majorBidi" w:hAnsiTheme="majorBidi" w:cstheme="majorBidi"/>
          <w:sz w:val="24"/>
          <w:szCs w:val="24"/>
        </w:rPr>
        <w:t>Extract from trade register of country of incorporation, incorporation certificate or other document, confirming legal status of the legal entity under the laws of the country of its incorporation, i.e. Documents, confirming its state registration with indication of the registration authority, registration number or its equivalent, date and place of registration</w:t>
      </w:r>
      <w:r w:rsidRPr="009442DD">
        <w:rPr>
          <w:rFonts w:asciiTheme="majorBidi" w:hAnsiTheme="majorBidi" w:cstheme="majorBidi"/>
          <w:b/>
          <w:bCs/>
          <w:sz w:val="24"/>
          <w:szCs w:val="24"/>
        </w:rPr>
        <w:t>.</w:t>
      </w:r>
      <w:r w:rsidRPr="009442DD">
        <w:rPr>
          <w:rFonts w:asciiTheme="majorBidi" w:hAnsiTheme="majorBidi" w:cstheme="majorBidi"/>
          <w:sz w:val="24"/>
          <w:szCs w:val="24"/>
        </w:rPr>
        <w:t xml:space="preserve"> (Charter documents of the foreign legal entity with amendments and additions – the Charter or other document, pursuant to the law of the country of foreign legal entity incorporation</w:t>
      </w:r>
      <w:r w:rsidRPr="009442DD">
        <w:rPr>
          <w:rFonts w:asciiTheme="majorBidi" w:hAnsiTheme="majorBidi" w:cstheme="majorBidi"/>
          <w:b/>
          <w:bCs/>
          <w:sz w:val="24"/>
          <w:szCs w:val="24"/>
        </w:rPr>
        <w:t>); *</w:t>
      </w:r>
    </w:p>
    <w:p w14:paraId="61A5D9EE" w14:textId="77777777" w:rsidR="006473EA" w:rsidRPr="009442DD" w:rsidRDefault="006473EA" w:rsidP="006473EA">
      <w:pPr>
        <w:pStyle w:val="a3"/>
        <w:numPr>
          <w:ilvl w:val="0"/>
          <w:numId w:val="1"/>
        </w:numPr>
        <w:tabs>
          <w:tab w:val="left" w:pos="709"/>
        </w:tabs>
        <w:spacing w:before="120" w:after="120" w:line="240" w:lineRule="auto"/>
        <w:contextualSpacing w:val="0"/>
        <w:jc w:val="both"/>
        <w:rPr>
          <w:rFonts w:asciiTheme="majorBidi" w:hAnsiTheme="majorBidi" w:cstheme="majorBidi"/>
          <w:sz w:val="24"/>
          <w:szCs w:val="24"/>
        </w:rPr>
      </w:pPr>
      <w:bookmarkStart w:id="2" w:name="_Hlk46393057"/>
      <w:bookmarkEnd w:id="1"/>
      <w:bookmarkEnd w:id="2"/>
      <w:r w:rsidRPr="009442DD">
        <w:rPr>
          <w:rFonts w:asciiTheme="majorBidi" w:hAnsiTheme="majorBidi" w:cstheme="majorBidi"/>
          <w:sz w:val="24"/>
          <w:szCs w:val="24"/>
        </w:rPr>
        <w:t>Documents confirming the powers of the chief executive officer of the legal entity-non-resident or persons acting jointly or independently of each other in accordance with the constituent documents;*</w:t>
      </w:r>
    </w:p>
    <w:p w14:paraId="32A667C3" w14:textId="77777777" w:rsidR="006473EA" w:rsidRPr="009442DD" w:rsidRDefault="006473EA" w:rsidP="006473EA">
      <w:pPr>
        <w:pStyle w:val="a3"/>
        <w:numPr>
          <w:ilvl w:val="0"/>
          <w:numId w:val="1"/>
        </w:numPr>
        <w:tabs>
          <w:tab w:val="left" w:pos="709"/>
        </w:tabs>
        <w:spacing w:before="120"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Licenses (permits) that are directly related to the legal capacity of the Customer, licenses for the right of a legal entity - non-resident to carry out activities subject to licensing  (in case of carrying out activities subject to licensing); *</w:t>
      </w:r>
    </w:p>
    <w:p w14:paraId="34E777B0" w14:textId="77777777" w:rsidR="006473EA" w:rsidRPr="009442DD" w:rsidRDefault="006473EA" w:rsidP="006473EA">
      <w:pPr>
        <w:pStyle w:val="a3"/>
        <w:numPr>
          <w:ilvl w:val="0"/>
          <w:numId w:val="1"/>
        </w:numPr>
        <w:autoSpaceDE w:val="0"/>
        <w:autoSpaceDN w:val="0"/>
        <w:adjustRightInd w:val="0"/>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Regulations on the separate unit of the legal entity or the document, determining the status of the regional office of the foreign non-commercial non-governmental organization;*</w:t>
      </w:r>
    </w:p>
    <w:p w14:paraId="2EE7583B"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Documents confirming authorities of the head of the branch (representative office) of the legal entity or the regional office of the foreign non-commercial non-governmental organization. A power of attorney, issued by the non-resident legal entity to the head of the branch (representative office) and documents, confirming the authority of the persons indicated in the card for disposition of funds, placed on the account, and in the case when the agreement provides for certification of the rights to dispose of funds, placed on the account, using an analogue of the handwritten signature – documents confirming the authority of persons entitled to use an analogue of the handwritten signature:</w:t>
      </w:r>
      <w:bookmarkStart w:id="3" w:name="_Hlk42772035"/>
      <w:r w:rsidRPr="009442DD">
        <w:rPr>
          <w:rFonts w:asciiTheme="majorBidi" w:hAnsiTheme="majorBidi" w:cstheme="majorBidi"/>
          <w:sz w:val="24"/>
          <w:szCs w:val="24"/>
        </w:rPr>
        <w:t xml:space="preserve"> (Document on appointment of the head of the branch (representative office)) *;</w:t>
      </w:r>
    </w:p>
    <w:bookmarkEnd w:id="3"/>
    <w:p w14:paraId="7C30993C"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 xml:space="preserve">A sample stamp and signature card – notarized (in the form of the Bank). </w:t>
      </w:r>
      <w:bookmarkStart w:id="4" w:name="_Hlk103259285"/>
    </w:p>
    <w:p w14:paraId="6F738FC6" w14:textId="77777777" w:rsidR="006473EA" w:rsidRPr="009442DD" w:rsidRDefault="006473EA" w:rsidP="006473EA">
      <w:pPr>
        <w:pStyle w:val="a3"/>
        <w:spacing w:after="120" w:line="240" w:lineRule="auto"/>
        <w:ind w:left="709"/>
        <w:contextualSpacing w:val="0"/>
        <w:jc w:val="both"/>
        <w:rPr>
          <w:rFonts w:asciiTheme="majorBidi" w:hAnsiTheme="majorBidi" w:cstheme="majorBidi"/>
          <w:sz w:val="24"/>
          <w:szCs w:val="24"/>
        </w:rPr>
      </w:pPr>
      <w:r w:rsidRPr="009442DD">
        <w:rPr>
          <w:rFonts w:asciiTheme="majorBidi" w:hAnsiTheme="majorBidi" w:cstheme="majorBidi"/>
          <w:i/>
          <w:iCs/>
          <w:sz w:val="24"/>
          <w:szCs w:val="24"/>
        </w:rPr>
        <w:t>It shall be submitted if the Customer intends to forward money transfer instructions in hard copy to the Bank</w:t>
      </w:r>
      <w:bookmarkEnd w:id="4"/>
    </w:p>
    <w:p w14:paraId="3F5F9E3C"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Copies of an identity document, or information about the details of the identity document of the sole executive body, persons entitled to manage the account, persons entitled to provide/receive documents for opening an account; *</w:t>
      </w:r>
    </w:p>
    <w:p w14:paraId="52462EA6"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The application for opening an account;</w:t>
      </w:r>
    </w:p>
    <w:p w14:paraId="697881C0"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The questionnaire (along with the requested documents).</w:t>
      </w:r>
    </w:p>
    <w:p w14:paraId="4F168EB9"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bookmarkStart w:id="5" w:name="_Hlk42771048"/>
      <w:bookmarkEnd w:id="5"/>
      <w:r w:rsidRPr="009442DD">
        <w:rPr>
          <w:rFonts w:asciiTheme="majorBidi" w:hAnsiTheme="majorBidi" w:cstheme="majorBidi"/>
          <w:sz w:val="24"/>
          <w:szCs w:val="24"/>
        </w:rPr>
        <w:t>A power of attorney for the person, authorized to sign a bank account agreement (if the Agreement is signed not by the sole executive body of the legal entity) – an original, executed by the notary or its notarized copy, or another document, valid as the power of attorney, duly executed in the country of incorporation of the non-resident legal entity;</w:t>
      </w:r>
    </w:p>
    <w:p w14:paraId="2F6E1F3B" w14:textId="77777777" w:rsidR="006473EA" w:rsidRPr="009442DD" w:rsidRDefault="006473EA" w:rsidP="006473EA">
      <w:pPr>
        <w:pStyle w:val="a3"/>
        <w:numPr>
          <w:ilvl w:val="0"/>
          <w:numId w:val="1"/>
        </w:numPr>
        <w:spacing w:after="120" w:line="240" w:lineRule="auto"/>
        <w:contextualSpacing w:val="0"/>
        <w:jc w:val="both"/>
        <w:rPr>
          <w:rFonts w:asciiTheme="majorBidi" w:hAnsiTheme="majorBidi" w:cstheme="majorBidi"/>
          <w:sz w:val="24"/>
          <w:szCs w:val="24"/>
        </w:rPr>
      </w:pPr>
      <w:r w:rsidRPr="009442DD">
        <w:rPr>
          <w:rFonts w:asciiTheme="majorBidi" w:hAnsiTheme="majorBidi" w:cstheme="majorBidi"/>
          <w:sz w:val="24"/>
          <w:szCs w:val="24"/>
        </w:rPr>
        <w:t>Power of attorney issued to the person authorized to submit documents to the Bank to open a bank account - original.</w:t>
      </w:r>
    </w:p>
    <w:p w14:paraId="2EB0F3F9" w14:textId="77777777" w:rsidR="006473EA" w:rsidRPr="009442DD" w:rsidRDefault="006473EA" w:rsidP="006473EA">
      <w:pPr>
        <w:pStyle w:val="a3"/>
        <w:spacing w:after="120" w:line="240" w:lineRule="auto"/>
        <w:ind w:left="714"/>
        <w:contextualSpacing w:val="0"/>
        <w:jc w:val="both"/>
        <w:rPr>
          <w:rFonts w:asciiTheme="majorBidi" w:hAnsiTheme="majorBidi" w:cstheme="majorBidi"/>
          <w:b/>
          <w:bCs/>
          <w:i/>
          <w:sz w:val="24"/>
          <w:szCs w:val="24"/>
        </w:rPr>
      </w:pPr>
      <w:r w:rsidRPr="009442DD">
        <w:rPr>
          <w:rFonts w:asciiTheme="majorBidi" w:hAnsiTheme="majorBidi" w:cstheme="majorBidi"/>
          <w:b/>
          <w:bCs/>
          <w:i/>
          <w:sz w:val="24"/>
          <w:szCs w:val="24"/>
        </w:rPr>
        <w:t>The Bank has the right to request other documents not listed above to carry out the procedure for opening an account.</w:t>
      </w:r>
    </w:p>
    <w:p w14:paraId="558C739E" w14:textId="10A687FC" w:rsidR="006473EA" w:rsidRPr="009442DD" w:rsidRDefault="006473EA" w:rsidP="009442DD">
      <w:pPr>
        <w:spacing w:after="120" w:line="240" w:lineRule="auto"/>
        <w:ind w:firstLine="567"/>
        <w:jc w:val="both"/>
        <w:rPr>
          <w:rFonts w:asciiTheme="majorBidi" w:hAnsiTheme="majorBidi" w:cstheme="majorBidi"/>
          <w:i/>
          <w:iCs/>
          <w:sz w:val="20"/>
          <w:szCs w:val="20"/>
        </w:rPr>
      </w:pPr>
      <w:r w:rsidRPr="009442DD">
        <w:rPr>
          <w:rFonts w:asciiTheme="majorBidi" w:hAnsiTheme="majorBidi" w:cstheme="majorBidi"/>
          <w:i/>
          <w:iCs/>
          <w:sz w:val="20"/>
          <w:szCs w:val="20"/>
        </w:rPr>
        <w:t xml:space="preserve">* The documents </w:t>
      </w:r>
      <w:r w:rsidR="009442DD">
        <w:rPr>
          <w:rFonts w:asciiTheme="majorBidi" w:hAnsiTheme="majorBidi" w:cstheme="majorBidi"/>
          <w:i/>
          <w:iCs/>
          <w:sz w:val="20"/>
          <w:szCs w:val="20"/>
        </w:rPr>
        <w:t>shall be</w:t>
      </w:r>
      <w:r w:rsidRPr="009442DD">
        <w:rPr>
          <w:rFonts w:asciiTheme="majorBidi" w:hAnsiTheme="majorBidi" w:cstheme="majorBidi"/>
          <w:i/>
          <w:iCs/>
          <w:sz w:val="20"/>
          <w:szCs w:val="20"/>
        </w:rPr>
        <w:t xml:space="preserve"> provided to the Bank </w:t>
      </w:r>
      <w:r w:rsidR="009442DD">
        <w:rPr>
          <w:rFonts w:asciiTheme="majorBidi" w:hAnsiTheme="majorBidi" w:cstheme="majorBidi"/>
          <w:i/>
          <w:iCs/>
          <w:sz w:val="20"/>
          <w:szCs w:val="20"/>
        </w:rPr>
        <w:t>as follows</w:t>
      </w:r>
      <w:r w:rsidRPr="009442DD">
        <w:rPr>
          <w:rFonts w:asciiTheme="majorBidi" w:hAnsiTheme="majorBidi" w:cstheme="majorBidi"/>
          <w:i/>
          <w:iCs/>
          <w:sz w:val="20"/>
          <w:szCs w:val="20"/>
        </w:rPr>
        <w:t xml:space="preserve">: </w:t>
      </w:r>
    </w:p>
    <w:p w14:paraId="083C5E47" w14:textId="77777777" w:rsidR="006473EA" w:rsidRPr="009442DD" w:rsidRDefault="006473EA" w:rsidP="006473EA">
      <w:pPr>
        <w:spacing w:after="0" w:line="240" w:lineRule="auto"/>
        <w:ind w:left="567"/>
        <w:jc w:val="both"/>
        <w:rPr>
          <w:rFonts w:asciiTheme="majorBidi" w:hAnsiTheme="majorBidi" w:cstheme="majorBidi"/>
          <w:i/>
          <w:iCs/>
          <w:sz w:val="20"/>
          <w:szCs w:val="20"/>
        </w:rPr>
      </w:pPr>
      <w:r w:rsidRPr="009442DD">
        <w:rPr>
          <w:rFonts w:asciiTheme="majorBidi" w:hAnsiTheme="majorBidi" w:cstheme="majorBidi"/>
          <w:i/>
          <w:iCs/>
          <w:sz w:val="20"/>
          <w:szCs w:val="20"/>
        </w:rPr>
        <w:lastRenderedPageBreak/>
        <w:t xml:space="preserve">- </w:t>
      </w:r>
      <w:proofErr w:type="gramStart"/>
      <w:r w:rsidRPr="009442DD">
        <w:rPr>
          <w:rFonts w:asciiTheme="majorBidi" w:hAnsiTheme="majorBidi" w:cstheme="majorBidi"/>
          <w:i/>
          <w:iCs/>
          <w:sz w:val="20"/>
          <w:szCs w:val="20"/>
        </w:rPr>
        <w:t>a</w:t>
      </w:r>
      <w:proofErr w:type="gramEnd"/>
      <w:r w:rsidRPr="009442DD">
        <w:rPr>
          <w:rFonts w:asciiTheme="majorBidi" w:hAnsiTheme="majorBidi" w:cstheme="majorBidi"/>
          <w:i/>
          <w:iCs/>
          <w:sz w:val="20"/>
          <w:szCs w:val="20"/>
        </w:rPr>
        <w:t xml:space="preserve"> notarized copy; </w:t>
      </w:r>
    </w:p>
    <w:p w14:paraId="0EF97029" w14:textId="77777777" w:rsidR="006473EA" w:rsidRPr="009442DD" w:rsidRDefault="006473EA" w:rsidP="006473EA">
      <w:pPr>
        <w:spacing w:after="0" w:line="240" w:lineRule="auto"/>
        <w:ind w:left="567"/>
        <w:jc w:val="both"/>
        <w:rPr>
          <w:rFonts w:asciiTheme="majorBidi" w:hAnsiTheme="majorBidi" w:cstheme="majorBidi"/>
          <w:i/>
          <w:iCs/>
          <w:sz w:val="20"/>
          <w:szCs w:val="20"/>
        </w:rPr>
      </w:pPr>
      <w:r w:rsidRPr="009442DD">
        <w:rPr>
          <w:rFonts w:asciiTheme="majorBidi" w:hAnsiTheme="majorBidi" w:cstheme="majorBidi"/>
          <w:i/>
          <w:iCs/>
          <w:sz w:val="20"/>
          <w:szCs w:val="20"/>
        </w:rPr>
        <w:t xml:space="preserve">- </w:t>
      </w:r>
      <w:proofErr w:type="gramStart"/>
      <w:r w:rsidRPr="009442DD">
        <w:rPr>
          <w:rFonts w:asciiTheme="majorBidi" w:hAnsiTheme="majorBidi" w:cstheme="majorBidi"/>
          <w:i/>
          <w:iCs/>
          <w:sz w:val="20"/>
          <w:szCs w:val="20"/>
        </w:rPr>
        <w:t>a</w:t>
      </w:r>
      <w:proofErr w:type="gramEnd"/>
      <w:r w:rsidRPr="009442DD">
        <w:rPr>
          <w:rFonts w:asciiTheme="majorBidi" w:hAnsiTheme="majorBidi" w:cstheme="majorBidi"/>
          <w:i/>
          <w:iCs/>
          <w:sz w:val="20"/>
          <w:szCs w:val="20"/>
        </w:rPr>
        <w:t xml:space="preserve"> copy, certified by the sole executive body of the legal entity, (the Bank retains the right to request original documents so that the Bank’s employees could compare them with the copies, if necessary);</w:t>
      </w:r>
    </w:p>
    <w:p w14:paraId="12508860" w14:textId="77777777" w:rsidR="006473EA" w:rsidRPr="009442DD" w:rsidRDefault="006473EA" w:rsidP="006473EA">
      <w:pPr>
        <w:spacing w:after="0" w:line="240" w:lineRule="auto"/>
        <w:ind w:left="567"/>
        <w:jc w:val="both"/>
        <w:rPr>
          <w:rFonts w:asciiTheme="majorBidi" w:hAnsiTheme="majorBidi" w:cstheme="majorBidi"/>
          <w:i/>
          <w:iCs/>
          <w:sz w:val="20"/>
          <w:szCs w:val="20"/>
        </w:rPr>
      </w:pPr>
      <w:r w:rsidRPr="009442DD">
        <w:rPr>
          <w:rFonts w:asciiTheme="majorBidi" w:hAnsiTheme="majorBidi" w:cstheme="majorBidi"/>
          <w:i/>
          <w:iCs/>
          <w:sz w:val="20"/>
          <w:szCs w:val="20"/>
        </w:rPr>
        <w:t xml:space="preserve">- </w:t>
      </w:r>
      <w:proofErr w:type="gramStart"/>
      <w:r w:rsidRPr="009442DD">
        <w:rPr>
          <w:rFonts w:asciiTheme="majorBidi" w:hAnsiTheme="majorBidi" w:cstheme="majorBidi"/>
          <w:i/>
          <w:iCs/>
          <w:sz w:val="20"/>
          <w:szCs w:val="20"/>
        </w:rPr>
        <w:t>original</w:t>
      </w:r>
      <w:proofErr w:type="gramEnd"/>
      <w:r w:rsidRPr="009442DD">
        <w:rPr>
          <w:rFonts w:asciiTheme="majorBidi" w:hAnsiTheme="majorBidi" w:cstheme="majorBidi"/>
          <w:i/>
          <w:iCs/>
          <w:sz w:val="20"/>
          <w:szCs w:val="20"/>
        </w:rPr>
        <w:t xml:space="preserve"> documents for preparation and certifying copies by the Bank's employee.</w:t>
      </w:r>
    </w:p>
    <w:p w14:paraId="368C762F" w14:textId="77777777" w:rsidR="006473EA" w:rsidRPr="009442DD" w:rsidRDefault="006473EA" w:rsidP="006473EA">
      <w:pPr>
        <w:autoSpaceDE w:val="0"/>
        <w:autoSpaceDN w:val="0"/>
        <w:adjustRightInd w:val="0"/>
        <w:spacing w:after="0" w:line="240" w:lineRule="auto"/>
        <w:ind w:left="567" w:firstLine="540"/>
        <w:jc w:val="both"/>
        <w:rPr>
          <w:rFonts w:asciiTheme="majorBidi" w:hAnsiTheme="majorBidi" w:cstheme="majorBidi"/>
          <w:i/>
          <w:iCs/>
          <w:sz w:val="20"/>
          <w:szCs w:val="20"/>
        </w:rPr>
      </w:pPr>
      <w:bookmarkStart w:id="6" w:name="_Hlk42245155"/>
      <w:r w:rsidRPr="009442DD">
        <w:rPr>
          <w:rFonts w:asciiTheme="majorBidi" w:hAnsiTheme="majorBidi" w:cstheme="majorBidi"/>
          <w:i/>
          <w:iCs/>
          <w:sz w:val="20"/>
          <w:szCs w:val="20"/>
        </w:rPr>
        <w:t>.</w:t>
      </w:r>
    </w:p>
    <w:p w14:paraId="459EC277" w14:textId="77777777" w:rsidR="006473EA" w:rsidRPr="009442DD" w:rsidRDefault="006473EA" w:rsidP="006473EA">
      <w:pPr>
        <w:autoSpaceDE w:val="0"/>
        <w:autoSpaceDN w:val="0"/>
        <w:adjustRightInd w:val="0"/>
        <w:spacing w:after="0" w:line="240" w:lineRule="auto"/>
        <w:ind w:left="567" w:firstLine="540"/>
        <w:jc w:val="both"/>
        <w:rPr>
          <w:rFonts w:asciiTheme="majorBidi" w:hAnsiTheme="majorBidi" w:cstheme="majorBidi"/>
          <w:sz w:val="20"/>
          <w:szCs w:val="20"/>
        </w:rPr>
      </w:pPr>
      <w:r w:rsidRPr="009442DD">
        <w:rPr>
          <w:rFonts w:asciiTheme="majorBidi" w:hAnsiTheme="majorBidi" w:cstheme="majorBidi"/>
          <w:i/>
          <w:iCs/>
          <w:color w:val="FF0000"/>
          <w:sz w:val="20"/>
          <w:szCs w:val="20"/>
        </w:rPr>
        <w:t>Documents made in whole or in any part of them in a foreign language (except for ID documents, issued by competent authorities of foreign countries, written in several languages, including Russian), shall be submitted to the Bank with a duly certified translation into Russian.</w:t>
      </w:r>
      <w:bookmarkEnd w:id="6"/>
    </w:p>
    <w:p w14:paraId="76971D74" w14:textId="77777777" w:rsidR="006473EA" w:rsidRPr="009442DD" w:rsidRDefault="006473EA" w:rsidP="006473EA">
      <w:pPr>
        <w:autoSpaceDE w:val="0"/>
        <w:autoSpaceDN w:val="0"/>
        <w:adjustRightInd w:val="0"/>
        <w:spacing w:after="0" w:line="240" w:lineRule="auto"/>
        <w:ind w:left="567" w:firstLine="540"/>
        <w:jc w:val="both"/>
        <w:rPr>
          <w:rFonts w:asciiTheme="majorBidi" w:hAnsiTheme="majorBidi" w:cstheme="majorBidi"/>
          <w:i/>
          <w:iCs/>
          <w:color w:val="FF0000"/>
          <w:sz w:val="20"/>
          <w:szCs w:val="20"/>
        </w:rPr>
      </w:pPr>
      <w:r w:rsidRPr="009442DD">
        <w:rPr>
          <w:rFonts w:asciiTheme="majorBidi" w:hAnsiTheme="majorBidi" w:cstheme="majorBidi"/>
          <w:i/>
          <w:iCs/>
          <w:color w:val="FF0000"/>
          <w:sz w:val="20"/>
          <w:szCs w:val="20"/>
        </w:rPr>
        <w:t>By a duly certified translation the Bank understands the following:</w:t>
      </w:r>
    </w:p>
    <w:p w14:paraId="1E51DD42" w14:textId="77777777" w:rsidR="006473EA" w:rsidRPr="009442DD" w:rsidRDefault="006473EA" w:rsidP="006473EA">
      <w:pPr>
        <w:pStyle w:val="a3"/>
        <w:numPr>
          <w:ilvl w:val="0"/>
          <w:numId w:val="2"/>
        </w:numPr>
        <w:autoSpaceDE w:val="0"/>
        <w:autoSpaceDN w:val="0"/>
        <w:adjustRightInd w:val="0"/>
        <w:spacing w:after="0" w:line="240" w:lineRule="auto"/>
        <w:jc w:val="both"/>
        <w:rPr>
          <w:rFonts w:asciiTheme="majorBidi" w:hAnsiTheme="majorBidi" w:cstheme="majorBidi"/>
          <w:i/>
          <w:iCs/>
          <w:color w:val="FF0000"/>
          <w:sz w:val="20"/>
          <w:szCs w:val="20"/>
        </w:rPr>
      </w:pPr>
      <w:r w:rsidRPr="009442DD">
        <w:rPr>
          <w:rFonts w:asciiTheme="majorBidi" w:hAnsiTheme="majorBidi" w:cstheme="majorBidi"/>
          <w:i/>
          <w:iCs/>
          <w:color w:val="FF0000"/>
          <w:sz w:val="20"/>
          <w:szCs w:val="20"/>
        </w:rPr>
        <w:t>Translation with notarized certification of the correctness of the translation.</w:t>
      </w:r>
    </w:p>
    <w:p w14:paraId="45A1F907" w14:textId="77777777" w:rsidR="006473EA" w:rsidRPr="009442DD" w:rsidRDefault="006473EA" w:rsidP="006473EA">
      <w:pPr>
        <w:pStyle w:val="a3"/>
        <w:numPr>
          <w:ilvl w:val="0"/>
          <w:numId w:val="3"/>
        </w:numPr>
        <w:autoSpaceDE w:val="0"/>
        <w:autoSpaceDN w:val="0"/>
        <w:adjustRightInd w:val="0"/>
        <w:spacing w:after="0" w:line="240" w:lineRule="auto"/>
        <w:ind w:left="709"/>
        <w:jc w:val="both"/>
        <w:rPr>
          <w:rFonts w:asciiTheme="majorBidi" w:hAnsiTheme="majorBidi" w:cstheme="majorBidi"/>
          <w:i/>
          <w:iCs/>
          <w:color w:val="FF0000"/>
          <w:sz w:val="20"/>
          <w:szCs w:val="20"/>
        </w:rPr>
      </w:pPr>
      <w:r w:rsidRPr="009442DD">
        <w:rPr>
          <w:rFonts w:asciiTheme="majorBidi" w:hAnsiTheme="majorBidi" w:cstheme="majorBidi"/>
          <w:i/>
          <w:iCs/>
          <w:color w:val="FF0000"/>
          <w:sz w:val="20"/>
          <w:szCs w:val="20"/>
        </w:rPr>
        <w:t>Translation where the translator's signature is certified by a notary of the Russian Federation.</w:t>
      </w:r>
    </w:p>
    <w:p w14:paraId="71DB6964" w14:textId="77777777" w:rsidR="006473EA" w:rsidRPr="009442DD" w:rsidRDefault="006473EA" w:rsidP="006473EA">
      <w:pPr>
        <w:pStyle w:val="a3"/>
        <w:numPr>
          <w:ilvl w:val="0"/>
          <w:numId w:val="3"/>
        </w:numPr>
        <w:autoSpaceDE w:val="0"/>
        <w:autoSpaceDN w:val="0"/>
        <w:adjustRightInd w:val="0"/>
        <w:spacing w:after="0" w:line="240" w:lineRule="auto"/>
        <w:ind w:left="709"/>
        <w:jc w:val="both"/>
        <w:rPr>
          <w:rFonts w:asciiTheme="majorBidi" w:hAnsiTheme="majorBidi" w:cstheme="majorBidi"/>
          <w:i/>
          <w:iCs/>
          <w:color w:val="FF0000"/>
          <w:sz w:val="20"/>
          <w:szCs w:val="20"/>
        </w:rPr>
      </w:pPr>
      <w:r w:rsidRPr="009442DD">
        <w:rPr>
          <w:rFonts w:asciiTheme="majorBidi" w:hAnsiTheme="majorBidi" w:cstheme="majorBidi"/>
          <w:i/>
          <w:iCs/>
          <w:color w:val="FF0000"/>
          <w:sz w:val="20"/>
          <w:szCs w:val="20"/>
        </w:rPr>
        <w:t xml:space="preserve">A document translated in the Customer's country of residence, provided that it has been </w:t>
      </w:r>
      <w:proofErr w:type="gramStart"/>
      <w:r w:rsidRPr="009442DD">
        <w:rPr>
          <w:rFonts w:asciiTheme="majorBidi" w:hAnsiTheme="majorBidi" w:cstheme="majorBidi"/>
          <w:i/>
          <w:iCs/>
          <w:color w:val="FF0000"/>
          <w:sz w:val="20"/>
          <w:szCs w:val="20"/>
        </w:rPr>
        <w:t>legalized/apostilled</w:t>
      </w:r>
      <w:proofErr w:type="gramEnd"/>
      <w:r w:rsidRPr="009442DD">
        <w:rPr>
          <w:rFonts w:asciiTheme="majorBidi" w:hAnsiTheme="majorBidi" w:cstheme="majorBidi"/>
          <w:i/>
          <w:iCs/>
          <w:color w:val="FF0000"/>
          <w:sz w:val="20"/>
          <w:szCs w:val="20"/>
        </w:rPr>
        <w:t xml:space="preserve"> in accordance with the established procedure, or without legalization in cases stipulated by international treaties of the Russian Federation.</w:t>
      </w:r>
    </w:p>
    <w:p w14:paraId="09671818" w14:textId="77777777" w:rsidR="006473EA" w:rsidRPr="009442DD" w:rsidRDefault="006473EA" w:rsidP="006473EA">
      <w:pPr>
        <w:autoSpaceDE w:val="0"/>
        <w:autoSpaceDN w:val="0"/>
        <w:adjustRightInd w:val="0"/>
        <w:spacing w:after="0" w:line="240" w:lineRule="auto"/>
        <w:ind w:left="567" w:firstLine="540"/>
        <w:jc w:val="both"/>
        <w:rPr>
          <w:rFonts w:asciiTheme="majorBidi" w:hAnsiTheme="majorBidi" w:cstheme="majorBidi"/>
          <w:i/>
          <w:iCs/>
          <w:color w:val="FF0000"/>
          <w:sz w:val="20"/>
          <w:szCs w:val="20"/>
        </w:rPr>
      </w:pPr>
    </w:p>
    <w:p w14:paraId="53140072" w14:textId="77777777" w:rsidR="006473EA" w:rsidRPr="009442DD" w:rsidRDefault="006473EA" w:rsidP="006473EA">
      <w:pPr>
        <w:autoSpaceDE w:val="0"/>
        <w:autoSpaceDN w:val="0"/>
        <w:adjustRightInd w:val="0"/>
        <w:spacing w:after="0" w:line="240" w:lineRule="auto"/>
        <w:ind w:left="567" w:firstLine="540"/>
        <w:jc w:val="both"/>
        <w:rPr>
          <w:rFonts w:asciiTheme="majorBidi" w:hAnsiTheme="majorBidi" w:cstheme="majorBidi"/>
          <w:i/>
          <w:iCs/>
          <w:color w:val="FF0000"/>
          <w:sz w:val="20"/>
          <w:szCs w:val="20"/>
        </w:rPr>
      </w:pPr>
      <w:r w:rsidRPr="009442DD">
        <w:rPr>
          <w:rFonts w:asciiTheme="majorBidi" w:hAnsiTheme="majorBidi" w:cstheme="majorBidi"/>
          <w:i/>
          <w:iCs/>
          <w:color w:val="FF0000"/>
          <w:sz w:val="20"/>
          <w:szCs w:val="20"/>
        </w:rPr>
        <w:t>In addition, the documents may be submitted to the Bank to be translated by the Bank. In such case, the terms of document translation and the Bank's remuneration for document translation shall be established by the Bank's Tariffs.</w:t>
      </w:r>
    </w:p>
    <w:p w14:paraId="41620A4D" w14:textId="77777777" w:rsidR="006473EA" w:rsidRPr="009442DD" w:rsidRDefault="006473EA" w:rsidP="006473EA">
      <w:pPr>
        <w:autoSpaceDE w:val="0"/>
        <w:autoSpaceDN w:val="0"/>
        <w:adjustRightInd w:val="0"/>
        <w:spacing w:after="0" w:line="240" w:lineRule="auto"/>
        <w:ind w:left="567" w:firstLine="540"/>
        <w:jc w:val="both"/>
        <w:rPr>
          <w:rFonts w:asciiTheme="majorBidi" w:hAnsiTheme="majorBidi" w:cstheme="majorBidi"/>
          <w:i/>
          <w:iCs/>
          <w:color w:val="FF0000"/>
          <w:sz w:val="20"/>
          <w:szCs w:val="20"/>
        </w:rPr>
      </w:pPr>
    </w:p>
    <w:p w14:paraId="3F52A90D" w14:textId="77777777" w:rsidR="00764C6D" w:rsidRPr="009442DD" w:rsidRDefault="00764C6D">
      <w:pPr>
        <w:rPr>
          <w:rFonts w:asciiTheme="majorBidi" w:hAnsiTheme="majorBidi" w:cstheme="majorBidi"/>
        </w:rPr>
      </w:pPr>
    </w:p>
    <w:sectPr w:rsidR="00764C6D" w:rsidRPr="00944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1110"/>
    <w:multiLevelType w:val="hybridMultilevel"/>
    <w:tmpl w:val="80F4AC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4D3E2E"/>
    <w:multiLevelType w:val="hybridMultilevel"/>
    <w:tmpl w:val="5F8CE7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D4E5326"/>
    <w:multiLevelType w:val="hybridMultilevel"/>
    <w:tmpl w:val="59EAF042"/>
    <w:lvl w:ilvl="0" w:tplc="716806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07"/>
    <w:rsid w:val="000755FE"/>
    <w:rsid w:val="00075C3F"/>
    <w:rsid w:val="000B6D43"/>
    <w:rsid w:val="00105294"/>
    <w:rsid w:val="00137616"/>
    <w:rsid w:val="001827E6"/>
    <w:rsid w:val="00187B1C"/>
    <w:rsid w:val="00194C9D"/>
    <w:rsid w:val="001A3BC0"/>
    <w:rsid w:val="001D24C4"/>
    <w:rsid w:val="0026450A"/>
    <w:rsid w:val="002723A6"/>
    <w:rsid w:val="002B7807"/>
    <w:rsid w:val="002C54A9"/>
    <w:rsid w:val="002F2EF2"/>
    <w:rsid w:val="00326E8B"/>
    <w:rsid w:val="00346A7C"/>
    <w:rsid w:val="00350D2E"/>
    <w:rsid w:val="004326A0"/>
    <w:rsid w:val="00433D26"/>
    <w:rsid w:val="00474491"/>
    <w:rsid w:val="00480DA8"/>
    <w:rsid w:val="004A4975"/>
    <w:rsid w:val="004A501E"/>
    <w:rsid w:val="004B4EC1"/>
    <w:rsid w:val="004C4FD5"/>
    <w:rsid w:val="004F5C0D"/>
    <w:rsid w:val="00534C5D"/>
    <w:rsid w:val="005A583F"/>
    <w:rsid w:val="00637934"/>
    <w:rsid w:val="006473EA"/>
    <w:rsid w:val="00704E41"/>
    <w:rsid w:val="00735CAD"/>
    <w:rsid w:val="00764C6D"/>
    <w:rsid w:val="007A06ED"/>
    <w:rsid w:val="007C48E0"/>
    <w:rsid w:val="008157C3"/>
    <w:rsid w:val="008906B1"/>
    <w:rsid w:val="008A08FF"/>
    <w:rsid w:val="008D795E"/>
    <w:rsid w:val="008E0387"/>
    <w:rsid w:val="008E7F62"/>
    <w:rsid w:val="00915C6D"/>
    <w:rsid w:val="00926E61"/>
    <w:rsid w:val="009331A4"/>
    <w:rsid w:val="009442DD"/>
    <w:rsid w:val="00944938"/>
    <w:rsid w:val="009F50BE"/>
    <w:rsid w:val="00A04E9F"/>
    <w:rsid w:val="00A30766"/>
    <w:rsid w:val="00A83C7C"/>
    <w:rsid w:val="00AB2F5A"/>
    <w:rsid w:val="00B0070F"/>
    <w:rsid w:val="00B3368A"/>
    <w:rsid w:val="00B51975"/>
    <w:rsid w:val="00B57F08"/>
    <w:rsid w:val="00B66276"/>
    <w:rsid w:val="00BC04F9"/>
    <w:rsid w:val="00C15AB5"/>
    <w:rsid w:val="00C1789B"/>
    <w:rsid w:val="00C36632"/>
    <w:rsid w:val="00C53846"/>
    <w:rsid w:val="00C62C44"/>
    <w:rsid w:val="00C755EA"/>
    <w:rsid w:val="00C90743"/>
    <w:rsid w:val="00D06D5E"/>
    <w:rsid w:val="00D512F3"/>
    <w:rsid w:val="00D77E4C"/>
    <w:rsid w:val="00E42976"/>
    <w:rsid w:val="00E4660F"/>
    <w:rsid w:val="00E541CF"/>
    <w:rsid w:val="00F10AD7"/>
    <w:rsid w:val="00F41E7C"/>
    <w:rsid w:val="00F535F0"/>
    <w:rsid w:val="00F623B2"/>
    <w:rsid w:val="00FB7AF5"/>
    <w:rsid w:val="00FD7F68"/>
    <w:rsid w:val="00FF21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EA"/>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1"/>
    <w:basedOn w:val="a"/>
    <w:link w:val="a4"/>
    <w:uiPriority w:val="34"/>
    <w:qFormat/>
    <w:rsid w:val="006473EA"/>
    <w:pPr>
      <w:ind w:left="720"/>
      <w:contextualSpacing/>
    </w:pPr>
  </w:style>
  <w:style w:type="character" w:customStyle="1" w:styleId="a4">
    <w:name w:val="Абзац списка Знак"/>
    <w:aliases w:val="Bullet List Знак,FooterText Знак,numbered Знак,Paragraphe de liste1 Знак,lp1 Знак,Абзац 1 Знак"/>
    <w:basedOn w:val="a0"/>
    <w:link w:val="a3"/>
    <w:uiPriority w:val="34"/>
    <w:locked/>
    <w:rsid w:val="006473EA"/>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EA"/>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1"/>
    <w:basedOn w:val="a"/>
    <w:link w:val="a4"/>
    <w:uiPriority w:val="34"/>
    <w:qFormat/>
    <w:rsid w:val="006473EA"/>
    <w:pPr>
      <w:ind w:left="720"/>
      <w:contextualSpacing/>
    </w:pPr>
  </w:style>
  <w:style w:type="character" w:customStyle="1" w:styleId="a4">
    <w:name w:val="Абзац списка Знак"/>
    <w:aliases w:val="Bullet List Знак,FooterText Знак,numbered Знак,Paragraphe de liste1 Знак,lp1 Знак,Абзац 1 Знак"/>
    <w:basedOn w:val="a0"/>
    <w:link w:val="a3"/>
    <w:uiPriority w:val="34"/>
    <w:locked/>
    <w:rsid w:val="006473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Solomennik Maxim</cp:lastModifiedBy>
  <cp:revision>5</cp:revision>
  <dcterms:created xsi:type="dcterms:W3CDTF">2023-10-13T10:01:00Z</dcterms:created>
  <dcterms:modified xsi:type="dcterms:W3CDTF">2023-10-13T13:43:00Z</dcterms:modified>
</cp:coreProperties>
</file>